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top w:val="single" w:sz="8" w:space="4" w:color="A31C67"/>
          <w:bottom w:val="single" w:sz="8" w:space="4" w:color="A31C67"/>
        </w:pBdr>
        <w:shd w:val="clear" w:color="auto" w:fill="FFE1E6"/>
        <w:spacing w:after="240"/>
      </w:pPr>
      <w:r>
        <w:rPr>
          <w:b/>
          <w:color w:val="8E1858"/>
        </w:rPr>
        <w:t xml:space="preserve">FICTIONAL SAMPLE: an invented case, not a real patient, clinic or claim. Prepared with ClaimParrot to show what a packet looks like.</w:t>
      </w:r>
    </w:p>
    <w:p>
      <w:pPr>
        <w:pStyle w:val="Heading2"/>
      </w:pPr>
      <w:r>
        <w:t xml:space="preserve">CLINICAL APPEAL</w:t>
      </w:r>
    </w:p>
    <w:p>
      <w:r>
        <w:t xml:space="preserve">[Date]</w:t>
      </w:r>
    </w:p>
    <w:p>
      <w:r>
        <w:t xml:space="preserve">[Payer appeals address]</w:t>
      </w:r>
    </w:p>
    <w:p>
      <w:pPr>
        <w:pBdr>
          <w:bottom w:val="single" w:sz="6" w:space="1" w:color="auto"/>
        </w:pBdr>
      </w:pPr>
    </w:p>
    <w:p>
      <w:r>
        <w:rPr>
          <w:b/>
        </w:rPr>
        <w:t xml:space="preserve">Re:</w:t>
      </w:r>
      <w:r>
        <w:t xml:space="preserve"> Clinical Appeal — Denial of Continued Partial Hospitalization Authorization</w:t>
      </w:r>
      <w:r>
        <w:br/>
      </w:r>
      <w:r>
        <w:rPr>
          <w:b/>
        </w:rPr>
        <w:t xml:space="preserve">Member:</w:t>
      </w:r>
      <w:r>
        <w:t xml:space="preserve"> [Member name]</w:t>
      </w:r>
      <w:r>
        <w:br/>
      </w:r>
      <w:r>
        <w:rPr>
          <w:b/>
        </w:rPr>
        <w:t xml:space="preserve">Member ID:</w:t>
      </w:r>
      <w:r>
        <w:t xml:space="preserve"> [Member ID]</w:t>
      </w:r>
      <w:r>
        <w:br/>
      </w:r>
      <w:r>
        <w:rPr>
          <w:b/>
        </w:rPr>
        <w:t xml:space="preserve">Provider:</w:t>
      </w:r>
      <w:r>
        <w:t xml:space="preserve"> [Provider name] | NPI: [NPI]</w:t>
      </w:r>
      <w:r>
        <w:br/>
      </w:r>
      <w:r>
        <w:rPr>
          <w:b/>
        </w:rPr>
        <w:t xml:space="preserve">Dates of Service:</w:t>
      </w:r>
      <w:r>
        <w:t xml:space="preserve"> [Dates of service]</w:t>
      </w:r>
      <w:r>
        <w:br/>
      </w:r>
      <w:r>
        <w:rPr>
          <w:b/>
        </w:rPr>
        <w:t xml:space="preserve">Authorization / Claim Reference:</w:t>
      </w:r>
      <w:r>
        <w:t xml:space="preserve"> [Authorization/claim number]</w:t>
      </w:r>
      <w:r>
        <w:br/>
      </w:r>
      <w:r>
        <w:rPr>
          <w:b/>
        </w:rPr>
        <w:t xml:space="preserve">Review Stage:</w:t>
      </w:r>
      <w:r>
        <w:t xml:space="preserve"> Concurrent review — First-level clinical appeal</w:t>
      </w:r>
    </w:p>
    <w:p>
      <w:pPr>
        <w:pBdr>
          <w:bottom w:val="single" w:sz="6" w:space="1" w:color="auto"/>
        </w:pBdr>
      </w:pPr>
    </w:p>
    <w:p>
      <w:r>
        <w:t xml:space="preserve">The treating program submits this clinical appeal of Optum / United Behavioral Health's decision to deny authorization for continued partial hospitalization (PHP) beyond day 10 of the member's current PHP stay. The denial should be overturned because the payer's stated rationale — symptom improvement and absence of imminent risk — does not address the clinical record as documented: the member continued to report passive suicidal ideation most days as of day 9; the safety plan was revised on day 8 following the member's disclosure of access to stockpiled medication in the home, which family removed on day 9; the treating psychiatrist documented on day 6 that the response to a sertraline increase cannot be evaluated before day 14; and the treatment team documented on day 9 that the member cannot yet safely manage the 20 hours per day outside programming due to ongoing home conflict with a partner. Each of these findings is directly relevant under LOCUS and the Optum Behavioral Clinical Policy for partial hospitalization.</w:t>
      </w:r>
    </w:p>
    <w:p>
      <w:pPr>
        <w:pBdr>
          <w:bottom w:val="single" w:sz="6" w:space="1" w:color="auto"/>
        </w:pBdr>
      </w:pPr>
    </w:p>
    <w:p>
      <w:pPr>
        <w:pStyle w:val="Heading3"/>
      </w:pPr>
      <w:r>
        <w:t xml:space="preserve">The Payer's Stated Reason and the Clinical Record</w:t>
      </w:r>
    </w:p>
    <w:p>
      <w:r>
        <w:t xml:space="preserve">The notice states: 'Continued partial hospitalization is not medically necessary. The member's symptoms have improved, the member is no longer at imminent risk of harm to self, and the member's needs can be met at a less intensive level of care such as intensive outpatient. Authorization ends after day 10 of the PHP stay.'</w:t>
      </w:r>
    </w:p>
    <w:p>
      <w:r>
        <w:t xml:space="preserve">Each element of that rationale is addressed directly below.</w:t>
      </w:r>
    </w:p>
    <w:p>
      <w:r>
        <w:rPr>
          <w:b/>
        </w:rPr>
        <w:t xml:space="preserve">1. Symptom improvement during active PHP does not establish step-down readiness.</w:t>
      </w:r>
    </w:p>
    <w:p>
      <w:r>
        <w:t xml:space="preserve">The member's PHQ-9 score was 24 on admission and 19 on day 9. While any directional change is clinically relevant, a PHQ-9 of 19 on day 9 does not reflect resolution of the presenting condition. More to the point, the treating team documented that the member continued to report passive suicidal ideation most days as of day 9 — this is not a finding of resolved symptoms. Symptom improvement during PHP is an expected treatment response. It does not, standing alone, establish that treatment goals have been met or that transition to a lower level of care is clinically appropriate at that point in the episode. The notice does not identify which treatment goal was achieved that would support safe step-down.</w:t>
      </w:r>
    </w:p>
    <w:p>
      <w:r>
        <w:rPr>
          <w:b/>
        </w:rPr>
        <w:t xml:space="preserve">2. The documented safety profile was not resolved by day 10.</w:t>
      </w:r>
    </w:p>
    <w:p>
      <w:r>
        <w:t xml:space="preserve">The notice states the member 'is no longer at imminent risk of harm to self.' The clinical record shows that on day 8, the member disclosed access to stockpiled medication in the home. The safety plan was revised that same day. Family removed the stockpiled medication on day 9. This sequence reflects a risk that emerged during the PHP stay and had not been fully stabilized by day 10. The notice does not address the day-8 safety plan revision, the means-access disclosure, or the passive suicidal ideation reported most days as of day 9. A clinical safety profile is not resolved by the absence of imminent risk alone when these documented facts remain present.</w:t>
      </w:r>
    </w:p>
    <w:p>
      <w:r>
        <w:rPr>
          <w:b/>
        </w:rPr>
        <w:t xml:space="preserve">3. The treating team's step-down readiness criteria have not been met.</w:t>
      </w:r>
    </w:p>
    <w:p>
      <w:r>
        <w:t xml:space="preserve">On day 9, the treatment team discussed and documented that transition to IOP was premature. The documented reason is that the member cannot yet maintain safety for the 20 hours per day outside programming because the home environment includes ongoing conflict with a partner. The discharge plan, as documented, requires that passive suicidal ideation resolve for 5 consecutive days and that the medication trial reach 14 days before IOP transition is appropriate. As of day 9, neither condition had been reached. The notice does not address either step-down criterion or the documented environmental barrier the team identified.</w:t>
      </w:r>
    </w:p>
    <w:p>
      <w:r>
        <w:rPr>
          <w:b/>
        </w:rPr>
        <w:t xml:space="preserve">4. The medication trial is incomplete.</w:t>
      </w:r>
    </w:p>
    <w:p>
      <w:r>
        <w:t xml:space="preserve">Sertraline was increased on day 6. The treating psychiatrist documented at that time that the response to this increase cannot be judged before day 14. The notice does not address this documented clinical finding. Transitioning the member to IOP before day 14 removes structured daily monitoring during a period the treating psychiatrist has identified as necessary to evaluate the medication change.</w:t>
      </w:r>
    </w:p>
    <w:p>
      <w:r>
        <w:rPr>
          <w:b/>
        </w:rPr>
        <w:t xml:space="preserve">5. What the notice does not address.</w:t>
      </w:r>
    </w:p>
    <w:p>
      <w:r>
        <w:t xml:space="preserve">The notice does not address: the day-8 safety plan revision; the day-9 means-access disclosure and removal of stockpiled medication from the home; the treating psychiatrist's documented finding that medication response cannot be evaluated before day 14; the treatment team's specific step-down readiness criteria (passive ideation resolved for 5 consecutive days; medication trial at 14 days); or the documented environmental barrier — ongoing home conflict — that the team cited as the specific reason the member cannot safely manage 20 hours per day outside programming.</w:t>
      </w:r>
    </w:p>
    <w:p>
      <w:pPr>
        <w:pBdr>
          <w:bottom w:val="single" w:sz="6" w:space="1" w:color="auto"/>
        </w:pBdr>
      </w:pPr>
    </w:p>
    <w:p>
      <w:pPr>
        <w:pStyle w:val="Heading3"/>
      </w:pPr>
      <w:r>
        <w:t xml:space="preserve">Clinical Risk of Upholding the Denial</w:t>
      </w:r>
    </w:p>
    <w:p>
      <w:r>
        <w:t xml:space="preserve">This member was admitted to PHP following an emergency department visit for suicidal ideation with a plan. As of day 9, the member continues to report passive suicidal ideation most days. A new means-access risk was identified on day 8. The treating team has documented a specific environmental barrier that makes safe step-down premature. Upholding the denial and transitioning the member to IOP before the team's documented step-down criteria are met would remove the level of daily structured monitoring the treating team has identified as currently necessary to manage these factors.</w:t>
      </w:r>
    </w:p>
    <w:p>
      <w:pPr>
        <w:pBdr>
          <w:bottom w:val="single" w:sz="6" w:space="1" w:color="auto"/>
        </w:pBdr>
      </w:pPr>
    </w:p>
    <w:p>
      <w:pPr>
        <w:pStyle w:val="Heading3"/>
      </w:pPr>
      <w:r>
        <w:t xml:space="preserve">Applicable Criteria</w:t>
      </w:r>
    </w:p>
    <w:p>
      <w:r>
        <w:t xml:space="preserve">The criteria named in the notice are LOCUS and the Optum Behavioral Clinical Policy for partial hospitalization. This appeal requests that those criteria be applied to the full clinical record described above. The notice does not identify which specific LOCUS dimension or dimensions were scored below the threshold for continued PHP, what score was recorded for each, or what score would be required to support continued stay. The treating program requests that information in any response to this appeal.</w:t>
      </w:r>
    </w:p>
    <w:p>
      <w:r>
        <w:t xml:space="preserve">If the treatment plan and day-8 through day-9 clinical documentation were not before the reviewer at the time of the concurrent review determination, please consider them now.</w:t>
      </w:r>
    </w:p>
    <w:p>
      <w:pPr>
        <w:pBdr>
          <w:bottom w:val="single" w:sz="6" w:space="1" w:color="auto"/>
        </w:pBdr>
      </w:pPr>
    </w:p>
    <w:p>
      <w:pPr>
        <w:pStyle w:val="Heading3"/>
      </w:pPr>
      <w:r>
        <w:t xml:space="preserve">Requests</w:t>
      </w:r>
    </w:p>
    <w:p>
      <w:pPr>
        <w:pStyle w:val="ListParagraph"/>
        <w:numPr>
          <w:ilvl w:val="0"/>
          <w:numId w:val="2"/>
        </w:numPr>
      </w:pPr>
      <w:r>
        <w:t xml:space="preserve">Overturn the denial and authorize continued PHP beginning day 11 of the current stay for the days and units the clinical record supports; and, to the extent PHP has been provided on days for which authorization has not yet been issued, reprocess and pay those days.</w:t>
      </w:r>
    </w:p>
    <w:p>
      <w:pPr>
        <w:pStyle w:val="ListParagraph"/>
        <w:numPr>
          <w:ilvl w:val="0"/>
          <w:numId w:val="2"/>
        </w:numPr>
      </w:pPr>
      <w:r>
        <w:t xml:space="preserve">Authorize continued PHP at the current level while this appeal is being decided, as the member remains in active treatment.</w:t>
      </w:r>
    </w:p>
    <w:p>
      <w:pPr>
        <w:pStyle w:val="ListParagraph"/>
        <w:numPr>
          <w:ilvl w:val="0"/>
          <w:numId w:val="2"/>
        </w:numPr>
      </w:pPr>
      <w:r>
        <w:t xml:space="preserve">Identify the specific LOCUS dimension or dimensions and the criterion under the Optum Behavioral Clinical Policy for partial hospitalization that the reviewer found unmet, including the score or finding recorded at the time of the concurrent review; and provide access to the plan documents and claim file materials relevant to this determination.</w:t>
      </w:r>
    </w:p>
    <w:p>
      <w:pPr>
        <w:pStyle w:val="ListParagraph"/>
        <w:numPr>
          <w:ilvl w:val="0"/>
          <w:numId w:val="2"/>
        </w:numPr>
      </w:pPr>
      <w:r>
        <w:t xml:space="preserve">If this plan makes peer-to-peer or same-specialty review available for this determination, please arrange it; otherwise identify the available clinical-review pathway. Given the care setting, please have any reviewing clinician share the specialty this clinical profile points to — psychiatry.</w:t>
      </w:r>
    </w:p>
    <w:p>
      <w:r>
        <w:t xml:space="preserve">This matter is clinically urgent. The member is currently attending PHP and authorization status directly affects continuity of an active treatment episode.</w:t>
      </w:r>
    </w:p>
    <w:p>
      <w:r>
        <w:t xml:space="preserve">Respectfully submitted,</w:t>
      </w:r>
    </w:p>
    <w:p>
      <w:r>
        <w:t xml:space="preserve">[Provider / authorized representative name]</w:t>
      </w:r>
      <w:r>
        <w:br/>
      </w:r>
      <w:r>
        <w:t xml:space="preserve">[Title]</w:t>
      </w:r>
      <w:r>
        <w:br/>
      </w:r>
      <w:r>
        <w:t xml:space="preserve">[Provider name]</w:t>
      </w:r>
      <w:r>
        <w:br/>
      </w:r>
      <w:r>
        <w:t xml:space="preserve">NPI: [NPI]</w:t>
      </w:r>
      <w:r>
        <w:br/>
      </w:r>
      <w:r>
        <w:t xml:space="preserve">Phone: [Phone]</w:t>
      </w:r>
      <w:r>
        <w:br/>
      </w:r>
      <w:r>
        <w:t xml:space="preserve">Fax: [Fax]</w:t>
      </w:r>
      <w:r>
        <w:br/>
      </w:r>
      <w:r>
        <w:t xml:space="preserve">[Date]</w:t>
      </w:r>
    </w:p>
    <w:sectPr>
      <w:headerReference w:type="default" r:id="rIdHeader1"/>
      <w:footerReference w:type="default" r:id="rIdFooter1"/>
      <w:pgSz w:w="12240" w:h="15840"/>
      <w:pgMar w:top="1440" w:right="1440" w:bottom="1440" w:left="1440" w:header="720" w:footer="720" w:gutter="0"/>
    </w:sectPr>
  </w:body>
</w:document>
</file>

<file path=word/footer1.xml><?xml version="1.0" encoding="utf-8"?>
<w:ftr xmlns:w="http://schemas.openxmlformats.org/wordprocessingml/2006/main" xmlns:r="http://schemas.openxmlformats.org/officeDocument/2006/relationships">
  <w:p>
    <w:pPr>
      <w:jc w:val="center"/>
      <w:spacing w:after="0"/>
    </w:pPr>
    <w:r>
      <w:rPr>
        <w:color w:val="595959"/>
        <w:sz w:val="16"/>
        <w:szCs w:val="16"/>
      </w:rPr>
      <w:t xml:space="preserve">Page </w:t>
    </w:r>
    <w:fldSimple w:instr=" PAGE ">
      <w:r>
        <w:rPr>
          <w:color w:val="595959"/>
          <w:sz w:val="16"/>
          <w:szCs w:val="16"/>
        </w:rPr>
        <w:t>1</w:t>
      </w:r>
    </w:fldSimple>
    <w:r>
      <w:rPr>
        <w:color w:val="595959"/>
        <w:sz w:val="16"/>
        <w:szCs w:val="16"/>
      </w:rPr>
      <w:t xml:space="preserve"> of </w:t>
    </w:r>
    <w:fldSimple w:instr=" NUMPAGES ">
      <w:r>
        <w:rPr>
          <w:color w:val="595959"/>
          <w:sz w:val="16"/>
          <w:szCs w:val="16"/>
        </w:rPr>
        <w:t>1</w:t>
      </w:r>
    </w:fldSimple>
  </w:p>
</w:ftr>
</file>

<file path=word/header1.xml><?xml version="1.0" encoding="utf-8"?>
<w:hdr xmlns:w="http://schemas.openxmlformats.org/wordprocessingml/2006/main" xmlns:r="http://schemas.openxmlformats.org/officeDocument/2006/relationships">
  <w:p>
    <w:pPr>
      <w:jc w:val="center"/>
      <w:spacing w:after="0"/>
    </w:pPr>
    <w:r>
      <w:rPr>
        <w:color w:val="595959"/>
        <w:sz w:val="16"/>
        <w:szCs w:val="16"/>
      </w:rPr>
      <w:t xml:space="preserve">Fictional sample · not a real patient, clinic or claim · ClaimParrot</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abstractNum>
  <w:abstractNum w:abstractNumId="2">
    <w:multiLevelType w:val="hybridMultilevel"/>
    <w:lvl w:ilvl="0">
      <w:start w:val="1"/>
      <w:numFmt w:val="bullet"/>
      <w:lvlText w:val="☐"/>
      <w:lvlJc w:val="left"/>
      <w:pPr>
        <w:ind w:left="720" w:hanging="360"/>
      </w:pPr>
    </w:lvl>
    <w:lvl w:ilvl="1">
      <w:start w:val="1"/>
      <w:numFmt w:val="bullet"/>
      <w:lvlText w:val="☐"/>
      <w:lvlJc w:val="left"/>
      <w:pPr>
        <w:ind w:left="1440" w:hanging="360"/>
      </w:pPr>
    </w:lvl>
  </w:abstractNum>
  <w:num w:numId="1">
    <w:abstractNumId w:val="0"/>
  </w:num>
  <w:num w:numId="900">
    <w:abstractNumId w:val="2"/>
  </w:num>
  <w:num w:numId="2">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64" w:lineRule="auto"/>
      </w:pPr>
    </w:pPrDefault>
  </w:docDefaults>
  <w:style w:type="paragraph" w:default="1" w:styleId="Normal">
    <w:name w:val="Normal"/>
    <w:qFormat/>
  </w:style>
  <w:style w:type="paragraph" w:styleId="Heading1">
    <w:name w:val="heading 1"/>
    <w:basedOn w:val="Normal"/>
    <w:next w:val="Normal"/>
    <w:uiPriority w:val="9"/>
    <w:qFormat/>
    <w:pPr>
      <w:keepNext/>
      <w:spacing w:before="240" w:after="120"/>
      <w:outlineLvl w:val="0"/>
    </w:pPr>
    <w:rPr>
      <w:b/>
      <w:sz w:val="30"/>
      <w:szCs w:val="30"/>
    </w:rPr>
  </w:style>
  <w:style w:type="paragraph" w:styleId="Heading2">
    <w:name w:val="heading 2"/>
    <w:basedOn w:val="Normal"/>
    <w:next w:val="Normal"/>
    <w:uiPriority w:val="9"/>
    <w:qFormat/>
    <w:pPr>
      <w:keepNext/>
      <w:spacing w:before="200" w:after="100"/>
      <w:outlineLvl w:val="1"/>
    </w:pPr>
    <w:rPr>
      <w:b/>
      <w:sz w:val="26"/>
      <w:szCs w:val="26"/>
    </w:rPr>
  </w:style>
  <w:style w:type="paragraph" w:styleId="Heading3">
    <w:name w:val="heading 3"/>
    <w:basedOn w:val="Normal"/>
    <w:next w:val="Normal"/>
    <w:uiPriority w:val="9"/>
    <w:qFormat/>
    <w:pPr>
      <w:keepNext/>
      <w:spacing w:before="160" w:after="80"/>
      <w:outlineLvl w:val="2"/>
    </w:pPr>
    <w:rPr>
      <w:b/>
      <w:sz w:val="23"/>
      <w:szCs w:val="23"/>
    </w:rPr>
  </w:style>
  <w:style w:type="paragraph" w:styleId="ListParagraph">
    <w:name w:val="List Paragraph"/>
    <w:basedOn w:val="Normal"/>
    <w:uiPriority w:val="34"/>
    <w:qFormat/>
    <w:pPr>
      <w:spacing w:after="80"/>
      <w:ind w:left="720"/>
      <w:contextualSpacing/>
    </w:pPr>
  </w:style>
  <w:style w:type="paragraph" w:styleId="Quote">
    <w:name w:val="Quote"/>
    <w:basedOn w:val="Normal"/>
    <w:next w:val="Normal"/>
    <w:uiPriority w:val="29"/>
    <w:qFormat/>
    <w:pPr>
      <w:ind w:left="720" w:right="720"/>
    </w:pPr>
    <w:rPr>
      <w:i/>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Footer1" Type="http://schemas.openxmlformats.org/officeDocument/2006/relationships/footer" Target="footer1.xml"/><Relationship Id="rIdHeader1"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Application>ClaimParrot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appeal</dc:title>
  <dc:creator>ClaimParrot</dc:creator>
  <dcterms:created xsi:type="dcterms:W3CDTF">2026-10-19T18:59:24Z</dcterms:created>
  <dcterms:modified xsi:type="dcterms:W3CDTF">2026-10-19T18:59:24Z</dcterms:modified>
</cp:coreProperties>
</file>